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4EE1" w14:textId="77777777" w:rsidR="000B5449" w:rsidRDefault="00000000">
      <w:pPr>
        <w:spacing w:after="33" w:line="230" w:lineRule="auto"/>
        <w:ind w:left="915" w:right="895" w:hanging="10"/>
        <w:jc w:val="center"/>
      </w:pPr>
      <w:r>
        <w:rPr>
          <w:sz w:val="26"/>
        </w:rPr>
        <w:t>Рекомендации по применению биологически активной добавки к пище</w:t>
      </w:r>
    </w:p>
    <w:p w14:paraId="15F9D140" w14:textId="77777777" w:rsidR="000B5449" w:rsidRDefault="00000000">
      <w:pPr>
        <w:spacing w:after="119" w:line="230" w:lineRule="auto"/>
        <w:ind w:left="915" w:right="905" w:hanging="10"/>
        <w:jc w:val="center"/>
      </w:pPr>
      <w:r>
        <w:rPr>
          <w:sz w:val="26"/>
        </w:rPr>
        <w:t>«ФЕМОДОЛ ПЛЮС» («FEMODOL PLUS»)</w:t>
      </w:r>
    </w:p>
    <w:p w14:paraId="2BDD50FA" w14:textId="77777777" w:rsidR="000B5449" w:rsidRDefault="00000000">
      <w:pPr>
        <w:ind w:left="5"/>
      </w:pPr>
      <w:r>
        <w:t>Свидетельство о государственной регистрации</w:t>
      </w:r>
    </w:p>
    <w:p w14:paraId="647860A8" w14:textId="46E4FE0F" w:rsidR="000B5449" w:rsidRDefault="00000000">
      <w:pPr>
        <w:ind w:left="5"/>
      </w:pPr>
      <w:r>
        <w:rPr>
          <w:noProof/>
        </w:rPr>
        <w:drawing>
          <wp:inline distT="0" distB="0" distL="0" distR="0" wp14:anchorId="4CF575DD" wp14:editId="7FB77E11">
            <wp:extent cx="127000" cy="88900"/>
            <wp:effectExtent l="0" t="0" r="0" b="0"/>
            <wp:docPr id="4423" name="Picture 4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" name="Picture 44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6E53">
        <w:t xml:space="preserve"> </w:t>
      </w:r>
      <w:r>
        <w:t>АМ.</w:t>
      </w:r>
      <w:r w:rsidR="002A6E53">
        <w:t>0</w:t>
      </w:r>
      <w:r>
        <w:t>1.</w:t>
      </w:r>
      <w:r w:rsidR="002A6E53">
        <w:t>0</w:t>
      </w:r>
      <w:r>
        <w:t>7.</w:t>
      </w:r>
      <w:r w:rsidR="002A6E53">
        <w:t>0</w:t>
      </w:r>
      <w:r>
        <w:t>1.</w:t>
      </w:r>
      <w:r w:rsidR="002A6E53">
        <w:t>00</w:t>
      </w:r>
      <w:r>
        <w:t>З. R.000785.12.21 от 13.12.2021 г.</w:t>
      </w:r>
    </w:p>
    <w:p w14:paraId="79210510" w14:textId="77777777" w:rsidR="000B5449" w:rsidRDefault="00000000">
      <w:pPr>
        <w:ind w:left="5"/>
      </w:pPr>
      <w:r>
        <w:t>ТУ 10.89.19-002-97303138-2021</w:t>
      </w:r>
    </w:p>
    <w:p w14:paraId="02CC3692" w14:textId="09013FA1" w:rsidR="000B5449" w:rsidRDefault="00000000">
      <w:pPr>
        <w:spacing w:after="242"/>
        <w:ind w:left="5"/>
      </w:pPr>
      <w:r>
        <w:t>Не является лекарственным средством.</w:t>
      </w:r>
    </w:p>
    <w:p w14:paraId="0FF2BB8A" w14:textId="2C12BFF0" w:rsidR="00683146" w:rsidRPr="0077587E" w:rsidRDefault="00683146">
      <w:pPr>
        <w:spacing w:after="242"/>
        <w:ind w:left="5"/>
        <w:rPr>
          <w:b/>
          <w:bCs/>
          <w:u w:val="single"/>
        </w:rPr>
      </w:pPr>
      <w:r w:rsidRPr="0077587E">
        <w:rPr>
          <w:b/>
          <w:bCs/>
          <w:u w:val="single"/>
        </w:rPr>
        <w:t>Состав</w:t>
      </w:r>
    </w:p>
    <w:p w14:paraId="6F5626F9" w14:textId="77777777" w:rsidR="000B5449" w:rsidRDefault="00000000" w:rsidP="00956983">
      <w:pPr>
        <w:ind w:left="5"/>
      </w:pPr>
      <w:r>
        <w:t>Сухой экстракт листьев зеленого чая (катехины), 3,3-дииндолилметан (сухой экстракт брокколи), минеральный премикс 142-21 (цинк, железо, магний, марганец, медь, калий, селен), микрокристаллическая целлюлоза (носитель), оболочка капсулы (</w:t>
      </w:r>
      <w:proofErr w:type="spellStart"/>
      <w:r>
        <w:t>гипромеллоза</w:t>
      </w:r>
      <w:proofErr w:type="spellEnd"/>
      <w:r>
        <w:t>).</w:t>
      </w:r>
    </w:p>
    <w:p w14:paraId="5722178B" w14:textId="665A1F7F" w:rsidR="000B5449" w:rsidRPr="0077587E" w:rsidRDefault="00000000">
      <w:pPr>
        <w:pStyle w:val="1"/>
        <w:rPr>
          <w:b/>
          <w:bCs/>
        </w:rPr>
      </w:pPr>
      <w:r w:rsidRPr="0077587E">
        <w:rPr>
          <w:b/>
          <w:bCs/>
        </w:rPr>
        <w:t>Свойства</w:t>
      </w:r>
    </w:p>
    <w:p w14:paraId="2A7725A7" w14:textId="77777777" w:rsidR="00683146" w:rsidRPr="00683146" w:rsidRDefault="00683146" w:rsidP="00683146"/>
    <w:p w14:paraId="51EE0E6E" w14:textId="1FC2FB17" w:rsidR="000B5449" w:rsidRPr="0024729A" w:rsidRDefault="00000000">
      <w:pPr>
        <w:ind w:left="5"/>
      </w:pPr>
      <w:r>
        <w:t xml:space="preserve">3,3-дииндолилметан (сухой экстракт брокколи) образуется в кислой среде желудка из 2 молекул индол-З-карбинола и является его стабильной формой. Таким образом, 3,3-дииндолилметан обеспечивает основные эффекты индол-З-карбинола в сохранении здоровья женской репродуктивной системы (молочная железа, эндометрий, </w:t>
      </w:r>
      <w:proofErr w:type="spellStart"/>
      <w:r>
        <w:t>миометрий</w:t>
      </w:r>
      <w:proofErr w:type="spellEnd"/>
      <w:r>
        <w:t xml:space="preserve">, шейка матки, яичники). Нормализация баланса эстрогенов на фоне применения 3,3-дииндолилметана сопровождается облегчением симптомов при мастопатии, эндометриозе, миоме матки, кистах яичника. Снижение болезненности молочных желез у пациенток с циклической </w:t>
      </w:r>
      <w:proofErr w:type="spellStart"/>
      <w:r>
        <w:t>масталгией</w:t>
      </w:r>
      <w:proofErr w:type="spellEnd"/>
      <w:r>
        <w:t xml:space="preserve"> на фоне приема 3,3-дииндолилметана подтверждена в результате клинических исследований.</w:t>
      </w:r>
      <w:r w:rsidR="0024729A" w:rsidRPr="0024729A">
        <w:rPr>
          <w:vertAlign w:val="superscript"/>
        </w:rPr>
        <w:t>1</w:t>
      </w:r>
    </w:p>
    <w:p w14:paraId="34AC711F" w14:textId="0A280108" w:rsidR="000B5449" w:rsidRPr="00683146" w:rsidRDefault="00000000">
      <w:pPr>
        <w:ind w:left="5"/>
      </w:pPr>
      <w:r>
        <w:t xml:space="preserve">В клиническом исследовании сочетанное применение </w:t>
      </w:r>
      <w:proofErr w:type="spellStart"/>
      <w:r>
        <w:t>прогестина</w:t>
      </w:r>
      <w:proofErr w:type="spellEnd"/>
      <w:r>
        <w:t xml:space="preserve"> с 3,3-дииндолилметаном у пациенток с эндометриозом подтвердило снижение боли и длительности кровотечения.</w:t>
      </w:r>
      <w:r w:rsidR="00683146">
        <w:rPr>
          <w:vertAlign w:val="superscript"/>
        </w:rPr>
        <w:t>2</w:t>
      </w:r>
      <w:r w:rsidR="00683146">
        <w:t xml:space="preserve"> </w:t>
      </w:r>
    </w:p>
    <w:p w14:paraId="4415CB7A" w14:textId="77777777" w:rsidR="0024729A" w:rsidRDefault="00000000">
      <w:pPr>
        <w:ind w:left="5"/>
      </w:pPr>
      <w:r>
        <w:t xml:space="preserve">Катехины — экстрактивные вещества из зеленого чая, одни из самых активных и изученных антиоксидантов. Катехины зеленого чая защищают клетки от </w:t>
      </w:r>
      <w:proofErr w:type="spellStart"/>
      <w:r>
        <w:t>оксидативного</w:t>
      </w:r>
      <w:proofErr w:type="spellEnd"/>
      <w:r>
        <w:t xml:space="preserve"> повреждения при воспалительных и пролиферативных заболеваниях, обладают избирательной способностью подавлять рост пролиферативных клеток. Сбалансированный состав минерального премикса восполняет дефицит минералов, широко распространенный среди жителей мегаполисов. Минералы необходимы для протекания реакций, связанных с распадом и синтезом новых клеток, иммунитетом. Эффективное протекание таких реакций обеспечивает профилактику воспалительных и пролиферативных заболеваний. </w:t>
      </w:r>
    </w:p>
    <w:p w14:paraId="567C7FF6" w14:textId="0E424E27" w:rsidR="000B5449" w:rsidRPr="0077587E" w:rsidRDefault="00000000">
      <w:pPr>
        <w:ind w:left="5"/>
        <w:rPr>
          <w:b/>
          <w:bCs/>
          <w:u w:val="single" w:color="000000"/>
        </w:rPr>
      </w:pPr>
      <w:r w:rsidRPr="0077587E">
        <w:rPr>
          <w:b/>
          <w:bCs/>
          <w:u w:val="single" w:color="000000"/>
        </w:rPr>
        <w:t>Область применения</w:t>
      </w:r>
    </w:p>
    <w:p w14:paraId="20BCDBE0" w14:textId="77777777" w:rsidR="007D233D" w:rsidRPr="00D462E0" w:rsidRDefault="007D233D">
      <w:pPr>
        <w:ind w:left="5"/>
      </w:pPr>
    </w:p>
    <w:p w14:paraId="0145E812" w14:textId="64A5AED7" w:rsidR="000B5449" w:rsidRDefault="00000000">
      <w:pPr>
        <w:ind w:left="5"/>
      </w:pPr>
      <w:r>
        <w:t xml:space="preserve">Для реализации населению в качестве биологически активной добавки к пище </w:t>
      </w:r>
      <w:r w:rsidR="007D233D">
        <w:t>-</w:t>
      </w:r>
      <w:r>
        <w:t xml:space="preserve"> источника катехинов, 3,3-дииндолилметана, дополнительного источника минеральных веществ (цинка, железа, магния, марганца, меди, калия, селена). В качестве дополнительного средства в период лечения и реабилитации пациенткам с гинекологическими заболеваниями.</w:t>
      </w:r>
    </w:p>
    <w:p w14:paraId="71E4BCFF" w14:textId="5E51E6F6" w:rsidR="000B5449" w:rsidRPr="0077587E" w:rsidRDefault="00000000" w:rsidP="0077587E">
      <w:pPr>
        <w:ind w:left="5"/>
        <w:rPr>
          <w:b/>
          <w:bCs/>
          <w:sz w:val="24"/>
        </w:rPr>
      </w:pPr>
      <w:r w:rsidRPr="0077587E">
        <w:rPr>
          <w:b/>
          <w:bCs/>
          <w:u w:val="single" w:color="000000"/>
        </w:rPr>
        <w:t>Рекомендации п</w:t>
      </w:r>
      <w:r w:rsidR="007D233D" w:rsidRPr="0077587E">
        <w:rPr>
          <w:b/>
          <w:bCs/>
          <w:u w:val="single" w:color="000000"/>
        </w:rPr>
        <w:t>о</w:t>
      </w:r>
      <w:r w:rsidRPr="0077587E">
        <w:rPr>
          <w:b/>
          <w:bCs/>
          <w:u w:val="single" w:color="000000"/>
        </w:rPr>
        <w:t xml:space="preserve"> применению</w:t>
      </w:r>
    </w:p>
    <w:p w14:paraId="07165578" w14:textId="77777777" w:rsidR="007D233D" w:rsidRPr="007D233D" w:rsidRDefault="007D233D" w:rsidP="007D233D"/>
    <w:p w14:paraId="6F338742" w14:textId="77777777" w:rsidR="000B5449" w:rsidRDefault="00000000">
      <w:pPr>
        <w:ind w:left="5"/>
      </w:pPr>
      <w:r>
        <w:t>Взрослым по 1 капсуле 2 раза в день во время еды.</w:t>
      </w:r>
    </w:p>
    <w:p w14:paraId="26D8E7B0" w14:textId="77777777" w:rsidR="000B5449" w:rsidRDefault="00000000">
      <w:pPr>
        <w:ind w:left="5"/>
      </w:pPr>
      <w:r>
        <w:t>Продолжительность приема — З месяца.</w:t>
      </w:r>
    </w:p>
    <w:p w14:paraId="6A3D1663" w14:textId="77777777" w:rsidR="000B5449" w:rsidRDefault="00000000">
      <w:pPr>
        <w:ind w:left="5"/>
      </w:pPr>
      <w:r>
        <w:t>При необходимости прием можно повторить через 2 недели.</w:t>
      </w:r>
    </w:p>
    <w:p w14:paraId="4490D0CC" w14:textId="55FC4CBA" w:rsidR="000B5449" w:rsidRDefault="00000000">
      <w:pPr>
        <w:ind w:left="5"/>
      </w:pPr>
      <w:r>
        <w:lastRenderedPageBreak/>
        <w:t>Содержание биологически активных веществ в суточной дозе (2 капсулы):</w:t>
      </w:r>
    </w:p>
    <w:p w14:paraId="4B184D51" w14:textId="77777777" w:rsidR="002A6E53" w:rsidRDefault="002A6E53">
      <w:pPr>
        <w:ind w:left="5"/>
      </w:pPr>
    </w:p>
    <w:tbl>
      <w:tblPr>
        <w:tblStyle w:val="TableGrid"/>
        <w:tblW w:w="7763" w:type="dxa"/>
        <w:tblInd w:w="-3" w:type="dxa"/>
        <w:tblCellMar>
          <w:top w:w="40" w:type="dxa"/>
          <w:right w:w="130" w:type="dxa"/>
        </w:tblCellMar>
        <w:tblLook w:val="04A0" w:firstRow="1" w:lastRow="0" w:firstColumn="1" w:lastColumn="0" w:noHBand="0" w:noVBand="1"/>
      </w:tblPr>
      <w:tblGrid>
        <w:gridCol w:w="1070"/>
        <w:gridCol w:w="2030"/>
        <w:gridCol w:w="1331"/>
        <w:gridCol w:w="970"/>
        <w:gridCol w:w="2362"/>
      </w:tblGrid>
      <w:tr w:rsidR="000B5449" w14:paraId="58890E33" w14:textId="77777777" w:rsidTr="002A6E53">
        <w:trPr>
          <w:trHeight w:val="705"/>
        </w:trPr>
        <w:tc>
          <w:tcPr>
            <w:tcW w:w="2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6ED1E" w14:textId="77777777" w:rsidR="000B5449" w:rsidRDefault="00000000">
            <w:pPr>
              <w:spacing w:after="0" w:line="259" w:lineRule="auto"/>
              <w:ind w:left="65" w:firstLine="0"/>
              <w:jc w:val="center"/>
            </w:pPr>
            <w:r>
              <w:t>Показатель</w:t>
            </w:r>
          </w:p>
        </w:tc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3448E" w14:textId="77777777" w:rsidR="000B5449" w:rsidRDefault="00000000">
            <w:pPr>
              <w:spacing w:after="0" w:line="259" w:lineRule="auto"/>
              <w:ind w:left="350" w:right="200" w:firstLine="0"/>
              <w:jc w:val="center"/>
            </w:pPr>
            <w:r>
              <w:t>Содержание в суточной дозе, мг</w:t>
            </w: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9DF52" w14:textId="18748DD3" w:rsidR="000B5449" w:rsidRDefault="00000000" w:rsidP="00956983">
            <w:pPr>
              <w:spacing w:after="0" w:line="259" w:lineRule="auto"/>
              <w:ind w:left="210" w:hanging="70"/>
              <w:jc w:val="center"/>
            </w:pPr>
            <w:r>
              <w:t>%</w:t>
            </w:r>
            <w:r w:rsidR="00956983" w:rsidRPr="00956983">
              <w:t xml:space="preserve"> </w:t>
            </w:r>
            <w:r>
              <w:t>от рекомендуемого*/ адекватного** уровня пот</w:t>
            </w:r>
            <w:r w:rsidR="00093917">
              <w:t>р</w:t>
            </w:r>
            <w:r>
              <w:t>ебления</w:t>
            </w:r>
          </w:p>
        </w:tc>
      </w:tr>
      <w:tr w:rsidR="000B5449" w14:paraId="62A55CD8" w14:textId="77777777" w:rsidTr="002A6E53">
        <w:trPr>
          <w:trHeight w:val="485"/>
        </w:trPr>
        <w:tc>
          <w:tcPr>
            <w:tcW w:w="2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2AA53" w14:textId="77777777" w:rsidR="000B5449" w:rsidRDefault="00000000">
            <w:pPr>
              <w:spacing w:after="0" w:line="259" w:lineRule="auto"/>
              <w:ind w:left="-35" w:firstLine="20"/>
              <w:jc w:val="left"/>
            </w:pPr>
            <w:r>
              <w:t>Катехины (сухой экстракт листьев зеленого чая</w:t>
            </w:r>
          </w:p>
        </w:tc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CE5EE" w14:textId="77777777" w:rsidR="000B5449" w:rsidRPr="00956983" w:rsidRDefault="00000000" w:rsidP="00956983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  <w:r w:rsidRPr="00956983">
              <w:rPr>
                <w:lang w:val="en-US"/>
              </w:rPr>
              <w:t>210</w:t>
            </w: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DA2A4" w14:textId="44C4235A" w:rsidR="000B5449" w:rsidRPr="00093917" w:rsidRDefault="00000000" w:rsidP="00956983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  <w:r w:rsidRPr="00956983">
              <w:rPr>
                <w:lang w:val="en-US"/>
              </w:rPr>
              <w:t>210</w:t>
            </w:r>
            <w:r w:rsidR="00093917" w:rsidRPr="00956983">
              <w:rPr>
                <w:lang w:val="en-US"/>
              </w:rPr>
              <w:t>*</w:t>
            </w:r>
            <w:r w:rsidR="00093917">
              <w:rPr>
                <w:lang w:val="en-US"/>
              </w:rPr>
              <w:t>*(***)</w:t>
            </w:r>
          </w:p>
        </w:tc>
      </w:tr>
      <w:tr w:rsidR="000B5449" w14:paraId="3B932575" w14:textId="77777777" w:rsidTr="002A6E53">
        <w:trPr>
          <w:trHeight w:val="485"/>
        </w:trPr>
        <w:tc>
          <w:tcPr>
            <w:tcW w:w="2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7C08D" w14:textId="45645D5C" w:rsidR="000B5449" w:rsidRDefault="00000000">
            <w:pPr>
              <w:spacing w:after="0" w:line="259" w:lineRule="auto"/>
              <w:ind w:left="35" w:right="260" w:hanging="60"/>
              <w:jc w:val="left"/>
            </w:pPr>
            <w:r>
              <w:t>3,3-дииндолилметан с хой экст</w:t>
            </w:r>
            <w:r w:rsidR="00093917">
              <w:t>р</w:t>
            </w:r>
            <w:r>
              <w:t>акт б</w:t>
            </w:r>
            <w:r w:rsidR="00093917">
              <w:t>р</w:t>
            </w:r>
            <w:r>
              <w:t>окколи</w:t>
            </w:r>
          </w:p>
        </w:tc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2EB9D" w14:textId="6B9B7B75" w:rsidR="000B5449" w:rsidRPr="00956983" w:rsidRDefault="00093917" w:rsidP="00093917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  <w:r w:rsidRPr="00956983">
              <w:rPr>
                <w:lang w:val="en-US"/>
              </w:rPr>
              <w:t>200****</w:t>
            </w: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5D2C1" w14:textId="474036AB" w:rsidR="000B5449" w:rsidRPr="00093917" w:rsidRDefault="00093917" w:rsidP="00093917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66,7**</w:t>
            </w:r>
          </w:p>
        </w:tc>
      </w:tr>
      <w:tr w:rsidR="000B5449" w14:paraId="07FA7AA8" w14:textId="77777777" w:rsidTr="002A6E53">
        <w:trPr>
          <w:trHeight w:val="250"/>
        </w:trPr>
        <w:tc>
          <w:tcPr>
            <w:tcW w:w="2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0D059" w14:textId="365E78DA" w:rsidR="000B5449" w:rsidRDefault="00093917" w:rsidP="00093917">
            <w:pPr>
              <w:spacing w:after="0" w:line="259" w:lineRule="auto"/>
              <w:jc w:val="left"/>
            </w:pPr>
            <w:r>
              <w:rPr>
                <w:sz w:val="20"/>
              </w:rPr>
              <w:t>Цинк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15ADCF" w14:textId="0675DB67" w:rsidR="000B5449" w:rsidRPr="00614286" w:rsidRDefault="00614286" w:rsidP="00093917">
            <w:pPr>
              <w:spacing w:after="160" w:line="259" w:lineRule="auto"/>
              <w:ind w:left="0" w:firstLine="0"/>
              <w:jc w:val="center"/>
            </w:pPr>
            <w:r w:rsidRPr="00614286">
              <w:t xml:space="preserve">                </w:t>
            </w:r>
            <w:r w:rsidR="00093917">
              <w:t>5,</w:t>
            </w:r>
            <w:r w:rsidR="00093917" w:rsidRPr="00614286">
              <w:t>4</w:t>
            </w:r>
          </w:p>
        </w:tc>
        <w:tc>
          <w:tcPr>
            <w:tcW w:w="11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B9E958" w14:textId="77777777" w:rsidR="000B5449" w:rsidRDefault="000B5449" w:rsidP="0009391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99449" w14:textId="1B6F24BD" w:rsidR="000B5449" w:rsidRPr="00093917" w:rsidRDefault="00093917" w:rsidP="00093917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36*</w:t>
            </w:r>
          </w:p>
        </w:tc>
      </w:tr>
      <w:tr w:rsidR="002A6E53" w14:paraId="3D4BDB73" w14:textId="77777777" w:rsidTr="002A6E53">
        <w:tblPrEx>
          <w:tblCellMar>
            <w:top w:w="32" w:type="dxa"/>
            <w:left w:w="10" w:type="dxa"/>
            <w:right w:w="115" w:type="dxa"/>
          </w:tblCellMar>
        </w:tblPrEx>
        <w:trPr>
          <w:trHeight w:val="250"/>
        </w:trPr>
        <w:tc>
          <w:tcPr>
            <w:tcW w:w="2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8B45C" w14:textId="77777777" w:rsidR="002A6E53" w:rsidRDefault="002A6E53" w:rsidP="003C6645">
            <w:pPr>
              <w:spacing w:after="0"/>
            </w:pPr>
            <w:r>
              <w:t>Железо</w:t>
            </w:r>
          </w:p>
        </w:tc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C26CF" w14:textId="3F39B6FD" w:rsidR="002A6E53" w:rsidRPr="00614286" w:rsidRDefault="00614286" w:rsidP="00614286">
            <w:pPr>
              <w:spacing w:after="160" w:line="259" w:lineRule="auto"/>
              <w:ind w:left="0" w:firstLine="0"/>
              <w:jc w:val="center"/>
            </w:pPr>
            <w:r w:rsidRPr="00614286">
              <w:t>9,4</w:t>
            </w: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99091" w14:textId="77777777" w:rsidR="002A6E53" w:rsidRDefault="002A6E53" w:rsidP="003C6645">
            <w:pPr>
              <w:spacing w:after="0"/>
              <w:ind w:left="95"/>
              <w:jc w:val="center"/>
            </w:pPr>
            <w:r>
              <w:rPr>
                <w:sz w:val="24"/>
              </w:rPr>
              <w:t>67 *</w:t>
            </w:r>
          </w:p>
        </w:tc>
      </w:tr>
      <w:tr w:rsidR="002A6E53" w14:paraId="44B52EE4" w14:textId="77777777" w:rsidTr="002A6E53">
        <w:tblPrEx>
          <w:tblCellMar>
            <w:top w:w="32" w:type="dxa"/>
            <w:left w:w="10" w:type="dxa"/>
            <w:right w:w="115" w:type="dxa"/>
          </w:tblCellMar>
        </w:tblPrEx>
        <w:trPr>
          <w:trHeight w:val="250"/>
        </w:trPr>
        <w:tc>
          <w:tcPr>
            <w:tcW w:w="2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E9D47" w14:textId="77777777" w:rsidR="002A6E53" w:rsidRDefault="002A6E53" w:rsidP="003C6645">
            <w:pPr>
              <w:spacing w:after="0"/>
            </w:pPr>
            <w:r>
              <w:t>Магний</w:t>
            </w:r>
          </w:p>
        </w:tc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45FBE" w14:textId="46A9D291" w:rsidR="002A6E53" w:rsidRDefault="002A6E53" w:rsidP="00614286">
            <w:pPr>
              <w:spacing w:after="160" w:line="259" w:lineRule="auto"/>
              <w:ind w:left="0" w:firstLine="0"/>
              <w:jc w:val="center"/>
            </w:pPr>
            <w:r w:rsidRPr="00614286">
              <w:t>3</w:t>
            </w:r>
            <w:r w:rsidR="00614286" w:rsidRPr="00614286">
              <w:t>,</w:t>
            </w:r>
            <w:r w:rsidRPr="00614286">
              <w:t>0</w:t>
            </w: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9E9A5" w14:textId="75D60403" w:rsidR="00614286" w:rsidRPr="00614286" w:rsidRDefault="00614286" w:rsidP="00614286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A6E53" w14:paraId="08533047" w14:textId="77777777" w:rsidTr="002A6E53">
        <w:tblPrEx>
          <w:tblCellMar>
            <w:top w:w="32" w:type="dxa"/>
            <w:left w:w="10" w:type="dxa"/>
            <w:right w:w="115" w:type="dxa"/>
          </w:tblCellMar>
        </w:tblPrEx>
        <w:trPr>
          <w:trHeight w:val="250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D4B365" w14:textId="23E472F5" w:rsidR="002A6E53" w:rsidRDefault="00614286" w:rsidP="00614286">
            <w:pPr>
              <w:jc w:val="left"/>
            </w:pPr>
            <w:r>
              <w:t>Марганец</w:t>
            </w:r>
          </w:p>
        </w:tc>
        <w:tc>
          <w:tcPr>
            <w:tcW w:w="24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F33056" w14:textId="2184BAF8" w:rsidR="002A6E53" w:rsidRPr="00614286" w:rsidRDefault="002A6E53" w:rsidP="00614286">
            <w:pPr>
              <w:ind w:left="0" w:firstLine="0"/>
              <w:jc w:val="left"/>
            </w:pPr>
          </w:p>
        </w:tc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23CD1" w14:textId="7C058B84" w:rsidR="002A6E53" w:rsidRDefault="002A6E53" w:rsidP="00614286">
            <w:pPr>
              <w:spacing w:after="160" w:line="259" w:lineRule="auto"/>
              <w:ind w:left="0" w:firstLine="0"/>
              <w:jc w:val="center"/>
            </w:pPr>
            <w:r w:rsidRPr="00614286">
              <w:t>0</w:t>
            </w:r>
            <w:r w:rsidR="00614286" w:rsidRPr="00614286">
              <w:t>,</w:t>
            </w:r>
            <w:r w:rsidRPr="00614286">
              <w:t>6</w:t>
            </w: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3F537" w14:textId="44D1E345" w:rsidR="002A6E53" w:rsidRPr="00614286" w:rsidRDefault="00614286" w:rsidP="00614286">
            <w:pPr>
              <w:jc w:val="center"/>
              <w:rPr>
                <w:lang w:val="en-US"/>
              </w:rPr>
            </w:pPr>
            <w:r>
              <w:t>30*</w:t>
            </w:r>
            <w:r>
              <w:rPr>
                <w:lang w:val="en-US"/>
              </w:rPr>
              <w:t>*</w:t>
            </w:r>
          </w:p>
        </w:tc>
      </w:tr>
      <w:tr w:rsidR="002A6E53" w14:paraId="29152262" w14:textId="77777777" w:rsidTr="002A6E53">
        <w:tblPrEx>
          <w:tblCellMar>
            <w:top w:w="32" w:type="dxa"/>
            <w:left w:w="10" w:type="dxa"/>
            <w:right w:w="115" w:type="dxa"/>
          </w:tblCellMar>
        </w:tblPrEx>
        <w:trPr>
          <w:trHeight w:val="250"/>
        </w:trPr>
        <w:tc>
          <w:tcPr>
            <w:tcW w:w="2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FB97B" w14:textId="030FEDC5" w:rsidR="002A6E53" w:rsidRPr="00614286" w:rsidRDefault="00614286" w:rsidP="003C6645">
            <w:r>
              <w:rPr>
                <w:lang w:val="en-US"/>
              </w:rPr>
              <w:t>М</w:t>
            </w:r>
            <w:proofErr w:type="spellStart"/>
            <w:r>
              <w:t>едь</w:t>
            </w:r>
            <w:proofErr w:type="spellEnd"/>
          </w:p>
        </w:tc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B8B89" w14:textId="15214622" w:rsidR="002A6E53" w:rsidRDefault="002A6E53" w:rsidP="00614286">
            <w:pPr>
              <w:spacing w:after="160" w:line="259" w:lineRule="auto"/>
              <w:ind w:left="0" w:firstLine="0"/>
              <w:jc w:val="center"/>
            </w:pPr>
            <w:r w:rsidRPr="00614286">
              <w:t>0</w:t>
            </w:r>
            <w:r w:rsidR="00614286" w:rsidRPr="00614286">
              <w:t>,</w:t>
            </w:r>
            <w:r w:rsidRPr="00614286">
              <w:t>6</w:t>
            </w: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4D751" w14:textId="1D85FE83" w:rsidR="002A6E53" w:rsidRPr="00614286" w:rsidRDefault="00614286" w:rsidP="00614286">
            <w:pPr>
              <w:jc w:val="center"/>
              <w:rPr>
                <w:lang w:val="en-US"/>
              </w:rPr>
            </w:pPr>
            <w:r>
              <w:t>60</w:t>
            </w:r>
            <w:r>
              <w:rPr>
                <w:lang w:val="en-US"/>
              </w:rPr>
              <w:t>**</w:t>
            </w:r>
          </w:p>
        </w:tc>
      </w:tr>
      <w:tr w:rsidR="002A6E53" w14:paraId="30A20D07" w14:textId="77777777" w:rsidTr="002A6E53">
        <w:tblPrEx>
          <w:tblCellMar>
            <w:top w:w="32" w:type="dxa"/>
            <w:left w:w="10" w:type="dxa"/>
            <w:right w:w="115" w:type="dxa"/>
          </w:tblCellMar>
        </w:tblPrEx>
        <w:trPr>
          <w:trHeight w:val="245"/>
        </w:trPr>
        <w:tc>
          <w:tcPr>
            <w:tcW w:w="2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4C8EB" w14:textId="77777777" w:rsidR="002A6E53" w:rsidRDefault="002A6E53" w:rsidP="003C6645">
            <w:pPr>
              <w:spacing w:after="0"/>
            </w:pPr>
            <w:r>
              <w:rPr>
                <w:sz w:val="20"/>
              </w:rPr>
              <w:t>Калий</w:t>
            </w:r>
          </w:p>
        </w:tc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CA581" w14:textId="38819BF7" w:rsidR="002A6E53" w:rsidRDefault="002A6E53" w:rsidP="00614286">
            <w:pPr>
              <w:spacing w:after="160" w:line="259" w:lineRule="auto"/>
              <w:ind w:left="0" w:firstLine="0"/>
              <w:jc w:val="center"/>
            </w:pPr>
            <w:r w:rsidRPr="00614286">
              <w:t>0</w:t>
            </w:r>
            <w:r w:rsidR="00614286" w:rsidRPr="00614286">
              <w:t>,</w:t>
            </w:r>
            <w:r w:rsidRPr="00614286">
              <w:t>08</w:t>
            </w: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6204E" w14:textId="5F492B4B" w:rsidR="002A6E53" w:rsidRPr="00614286" w:rsidRDefault="00614286" w:rsidP="00614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A6E53" w14:paraId="156995E6" w14:textId="77777777" w:rsidTr="002A6E53">
        <w:tblPrEx>
          <w:tblCellMar>
            <w:top w:w="32" w:type="dxa"/>
            <w:left w:w="10" w:type="dxa"/>
            <w:right w:w="115" w:type="dxa"/>
          </w:tblCellMar>
        </w:tblPrEx>
        <w:trPr>
          <w:trHeight w:val="250"/>
        </w:trPr>
        <w:tc>
          <w:tcPr>
            <w:tcW w:w="2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AA454" w14:textId="77777777" w:rsidR="002A6E53" w:rsidRDefault="002A6E53" w:rsidP="003C6645">
            <w:pPr>
              <w:spacing w:after="0"/>
            </w:pPr>
            <w:r>
              <w:t>Селен</w:t>
            </w:r>
          </w:p>
        </w:tc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EFBBE" w14:textId="74714D5D" w:rsidR="002A6E53" w:rsidRDefault="002A6E53" w:rsidP="00614286">
            <w:pPr>
              <w:spacing w:after="160" w:line="259" w:lineRule="auto"/>
              <w:ind w:left="0" w:firstLine="0"/>
              <w:jc w:val="center"/>
            </w:pPr>
            <w:r w:rsidRPr="00614286">
              <w:t>0</w:t>
            </w:r>
            <w:r w:rsidR="00614286" w:rsidRPr="00614286">
              <w:t>,</w:t>
            </w:r>
            <w:r w:rsidRPr="00614286">
              <w:t>04</w:t>
            </w: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C579A" w14:textId="5F49DEA1" w:rsidR="002A6E53" w:rsidRPr="00614286" w:rsidRDefault="00614286" w:rsidP="00614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57*</w:t>
            </w:r>
          </w:p>
        </w:tc>
      </w:tr>
    </w:tbl>
    <w:p w14:paraId="0EA86210" w14:textId="36D770DB" w:rsidR="002A6E53" w:rsidRDefault="002A6E53" w:rsidP="002A6E53">
      <w:pPr>
        <w:spacing w:after="26" w:line="228" w:lineRule="auto"/>
        <w:ind w:left="-5"/>
      </w:pPr>
      <w:r>
        <w:rPr>
          <w:sz w:val="20"/>
        </w:rPr>
        <w:t xml:space="preserve">* Согласно </w:t>
      </w:r>
      <w:r w:rsidR="007D233D">
        <w:rPr>
          <w:sz w:val="20"/>
        </w:rPr>
        <w:t>ТР</w:t>
      </w:r>
      <w:r>
        <w:rPr>
          <w:sz w:val="20"/>
        </w:rPr>
        <w:t xml:space="preserve"> ТС 022/2011.</w:t>
      </w:r>
    </w:p>
    <w:p w14:paraId="6CC6BA8E" w14:textId="6F39C63B" w:rsidR="002A6E53" w:rsidRDefault="002A6E53" w:rsidP="002A6E53">
      <w:pPr>
        <w:spacing w:after="4" w:line="228" w:lineRule="auto"/>
        <w:ind w:left="-5"/>
      </w:pPr>
      <w:r>
        <w:rPr>
          <w:sz w:val="20"/>
        </w:rPr>
        <w:t>** Согласно «Единым санитарно-эпидемиологическим и гигиеническим требованиям к товарам,</w:t>
      </w:r>
      <w:r w:rsidR="007D233D">
        <w:rPr>
          <w:sz w:val="20"/>
        </w:rPr>
        <w:t xml:space="preserve"> </w:t>
      </w:r>
      <w:r>
        <w:rPr>
          <w:sz w:val="20"/>
        </w:rPr>
        <w:t>подлежащим санитарно-эпидемиологическому надзору (контролю)» (Приложение 5) Таможенного союза ЕврАзЭС.</w:t>
      </w:r>
    </w:p>
    <w:p w14:paraId="1EEFC303" w14:textId="77777777" w:rsidR="002A6E53" w:rsidRDefault="002A6E53" w:rsidP="002A6E53">
      <w:pPr>
        <w:spacing w:after="4" w:line="228" w:lineRule="auto"/>
        <w:ind w:left="-5"/>
      </w:pPr>
      <w:r>
        <w:rPr>
          <w:sz w:val="20"/>
        </w:rPr>
        <w:t>*** Не превышает верхний допустимый уровень потребления согласно «Единым санитарно-эпидемиологическим и гигиеническим требованиям к товарам, подлежащим санитарно-эпидемиологическому надзору (контролю)» (Приложение 5) Таможенного союза ЕврАзЭС.</w:t>
      </w:r>
    </w:p>
    <w:p w14:paraId="6F191371" w14:textId="1676C903" w:rsidR="002A6E53" w:rsidRDefault="002A6E53" w:rsidP="002A6E53">
      <w:pPr>
        <w:spacing w:after="26" w:line="228" w:lineRule="auto"/>
        <w:ind w:left="-5"/>
      </w:pPr>
      <w:r>
        <w:rPr>
          <w:noProof/>
        </w:rPr>
        <w:drawing>
          <wp:inline distT="0" distB="0" distL="0" distR="0" wp14:anchorId="0A0A8D2D" wp14:editId="51D6A342">
            <wp:extent cx="215900" cy="44450"/>
            <wp:effectExtent l="0" t="0" r="0" b="0"/>
            <wp:docPr id="5459" name="Picture 5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9" name="Picture 54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233D">
        <w:rPr>
          <w:sz w:val="20"/>
        </w:rPr>
        <w:t xml:space="preserve"> </w:t>
      </w:r>
      <w:r>
        <w:rPr>
          <w:sz w:val="20"/>
        </w:rPr>
        <w:t>Эквивалентно 400 мг индол-з-карбинола.</w:t>
      </w:r>
    </w:p>
    <w:p w14:paraId="300BCF96" w14:textId="4F5A0927" w:rsidR="002A6E53" w:rsidRDefault="002A6E53" w:rsidP="002A6E53">
      <w:pPr>
        <w:spacing w:after="41" w:line="228" w:lineRule="auto"/>
        <w:ind w:left="-5"/>
      </w:pPr>
      <w:r>
        <w:rPr>
          <w:sz w:val="20"/>
        </w:rPr>
        <w:t>Т.к. из двух молекул индол-З-карбинола образуется одна молекула 3,3-дииндолилметана, допускается, что 200 мг 3,3-дииндолилметана эквивалентно 400 мг индол-3-карбинола.</w:t>
      </w:r>
      <w:r w:rsidR="00BA2D5D" w:rsidRPr="00BA2D5D">
        <w:rPr>
          <w:sz w:val="20"/>
          <w:vertAlign w:val="superscript"/>
        </w:rPr>
        <w:t>5</w:t>
      </w:r>
    </w:p>
    <w:p w14:paraId="502778F2" w14:textId="4C1E0864" w:rsidR="002A6E53" w:rsidRPr="0077587E" w:rsidRDefault="002A6E53" w:rsidP="002A6E53">
      <w:pPr>
        <w:pStyle w:val="1"/>
        <w:ind w:left="5"/>
        <w:rPr>
          <w:b/>
          <w:bCs/>
        </w:rPr>
      </w:pPr>
      <w:r w:rsidRPr="0077587E">
        <w:rPr>
          <w:b/>
          <w:bCs/>
        </w:rPr>
        <w:t>Побочное действие</w:t>
      </w:r>
    </w:p>
    <w:p w14:paraId="3734BB65" w14:textId="77777777" w:rsidR="00BA2D5D" w:rsidRPr="00BA2D5D" w:rsidRDefault="00BA2D5D" w:rsidP="00BA2D5D"/>
    <w:p w14:paraId="1557B262" w14:textId="77777777" w:rsidR="002A6E53" w:rsidRDefault="002A6E53" w:rsidP="002A6E53">
      <w:pPr>
        <w:spacing w:after="31" w:line="225" w:lineRule="auto"/>
        <w:ind w:left="5"/>
      </w:pPr>
      <w:r>
        <w:t>По данным клинических исследований комбинация ингредиентов хорошо переносится, не оказывая в терапевтических дозах побочных эффектов.</w:t>
      </w:r>
    </w:p>
    <w:p w14:paraId="6063249A" w14:textId="7D05EE13" w:rsidR="002A6E53" w:rsidRPr="0077587E" w:rsidRDefault="002A6E53" w:rsidP="002A6E53">
      <w:pPr>
        <w:pStyle w:val="1"/>
        <w:ind w:left="5"/>
        <w:rPr>
          <w:b/>
          <w:bCs/>
        </w:rPr>
      </w:pPr>
      <w:r w:rsidRPr="0077587E">
        <w:rPr>
          <w:b/>
          <w:bCs/>
        </w:rPr>
        <w:t>Противопоказания</w:t>
      </w:r>
    </w:p>
    <w:p w14:paraId="678B4DAE" w14:textId="77777777" w:rsidR="00BA2D5D" w:rsidRPr="00BA2D5D" w:rsidRDefault="00BA2D5D" w:rsidP="00BA2D5D"/>
    <w:p w14:paraId="56802154" w14:textId="77777777" w:rsidR="002A6E53" w:rsidRDefault="002A6E53" w:rsidP="002A6E53">
      <w:pPr>
        <w:spacing w:after="4" w:line="225" w:lineRule="auto"/>
        <w:ind w:left="5"/>
      </w:pPr>
      <w:r>
        <w:t>Индивидуальная непереносимость компонентов продукта, беременность, кормление грудью.</w:t>
      </w:r>
    </w:p>
    <w:p w14:paraId="0C8B7740" w14:textId="77777777" w:rsidR="002A6E53" w:rsidRDefault="002A6E53" w:rsidP="002A6E53">
      <w:pPr>
        <w:spacing w:after="31" w:line="225" w:lineRule="auto"/>
        <w:ind w:left="5"/>
      </w:pPr>
      <w:r>
        <w:t>Перед применением необходимо проконсультироваться с врачом.</w:t>
      </w:r>
    </w:p>
    <w:p w14:paraId="5D6A7CA8" w14:textId="662FF2F0" w:rsidR="002A6E53" w:rsidRDefault="002A6E53" w:rsidP="002A6E53">
      <w:pPr>
        <w:spacing w:after="31" w:line="225" w:lineRule="auto"/>
        <w:ind w:left="5"/>
      </w:pPr>
      <w:r>
        <w:t>Не содержит ГМО.</w:t>
      </w:r>
    </w:p>
    <w:p w14:paraId="593D31E4" w14:textId="687FAA2C" w:rsidR="002A6E53" w:rsidRPr="0077587E" w:rsidRDefault="002A6E53" w:rsidP="002A6E53">
      <w:pPr>
        <w:pStyle w:val="1"/>
        <w:ind w:left="5"/>
        <w:rPr>
          <w:b/>
          <w:bCs/>
        </w:rPr>
      </w:pPr>
      <w:r w:rsidRPr="0077587E">
        <w:rPr>
          <w:b/>
          <w:bCs/>
        </w:rPr>
        <w:t>Форма выпуска</w:t>
      </w:r>
    </w:p>
    <w:p w14:paraId="6A49EB46" w14:textId="77777777" w:rsidR="00BA2D5D" w:rsidRPr="00BA2D5D" w:rsidRDefault="00BA2D5D" w:rsidP="00BA2D5D"/>
    <w:p w14:paraId="1BAFD125" w14:textId="77777777" w:rsidR="002A6E53" w:rsidRDefault="002A6E53" w:rsidP="002A6E53">
      <w:pPr>
        <w:spacing w:after="31" w:line="225" w:lineRule="auto"/>
        <w:ind w:left="5"/>
      </w:pPr>
      <w:r>
        <w:t>Капсулы, массой содержимого 390 мг.</w:t>
      </w:r>
    </w:p>
    <w:p w14:paraId="42F73FB3" w14:textId="16FF2C5C" w:rsidR="002A6E53" w:rsidRPr="0077587E" w:rsidRDefault="00BA2D5D" w:rsidP="002A6E53">
      <w:pPr>
        <w:spacing w:after="4" w:line="225" w:lineRule="auto"/>
        <w:ind w:left="5" w:right="1870"/>
        <w:rPr>
          <w:b/>
          <w:bCs/>
          <w:u w:val="single" w:color="000000"/>
        </w:rPr>
      </w:pPr>
      <w:r w:rsidRPr="0077587E">
        <w:rPr>
          <w:b/>
          <w:bCs/>
          <w:u w:val="single" w:color="000000"/>
        </w:rPr>
        <w:t>Условия</w:t>
      </w:r>
      <w:r w:rsidR="002A6E53" w:rsidRPr="0077587E">
        <w:rPr>
          <w:b/>
          <w:bCs/>
          <w:u w:val="single" w:color="000000"/>
        </w:rPr>
        <w:t xml:space="preserve"> хранения</w:t>
      </w:r>
    </w:p>
    <w:p w14:paraId="472F0DC7" w14:textId="77777777" w:rsidR="00BA2D5D" w:rsidRDefault="00BA2D5D" w:rsidP="002A6E53">
      <w:pPr>
        <w:spacing w:after="4" w:line="225" w:lineRule="auto"/>
        <w:ind w:left="5" w:right="1870"/>
      </w:pPr>
    </w:p>
    <w:p w14:paraId="4223F549" w14:textId="77777777" w:rsidR="00F2581C" w:rsidRDefault="002A6E53" w:rsidP="002A6E53">
      <w:pPr>
        <w:spacing w:after="7" w:line="238" w:lineRule="auto"/>
        <w:ind w:right="1090"/>
        <w:rPr>
          <w:u w:val="single" w:color="000000"/>
        </w:rPr>
      </w:pPr>
      <w:r>
        <w:t xml:space="preserve">В сухом, недоступном для детей месте, при температуре не выше 25 </w:t>
      </w:r>
      <w:r>
        <w:rPr>
          <w:vertAlign w:val="superscript"/>
        </w:rPr>
        <w:t>0</w:t>
      </w:r>
      <w:r>
        <w:t xml:space="preserve">С. </w:t>
      </w:r>
      <w:r w:rsidRPr="0077587E">
        <w:rPr>
          <w:b/>
          <w:bCs/>
          <w:u w:val="single" w:color="000000"/>
        </w:rPr>
        <w:t>Срок годн</w:t>
      </w:r>
      <w:r w:rsidR="00BA2D5D" w:rsidRPr="0077587E">
        <w:rPr>
          <w:b/>
          <w:bCs/>
          <w:u w:val="single" w:color="000000"/>
        </w:rPr>
        <w:t>о</w:t>
      </w:r>
      <w:r w:rsidRPr="0077587E">
        <w:rPr>
          <w:b/>
          <w:bCs/>
          <w:u w:val="single" w:color="000000"/>
        </w:rPr>
        <w:t>сти</w:t>
      </w:r>
      <w:r>
        <w:rPr>
          <w:u w:val="single" w:color="000000"/>
        </w:rPr>
        <w:t xml:space="preserve"> </w:t>
      </w:r>
    </w:p>
    <w:p w14:paraId="225385E7" w14:textId="70D1F7FF" w:rsidR="002A6E53" w:rsidRDefault="002A6E53" w:rsidP="002A6E53">
      <w:pPr>
        <w:spacing w:after="7" w:line="238" w:lineRule="auto"/>
        <w:ind w:right="1090"/>
      </w:pPr>
      <w:r>
        <w:t>2 года.</w:t>
      </w:r>
    </w:p>
    <w:p w14:paraId="7944BA84" w14:textId="77777777" w:rsidR="002A6E53" w:rsidRPr="0077587E" w:rsidRDefault="002A6E53" w:rsidP="002A6E53">
      <w:pPr>
        <w:pStyle w:val="1"/>
        <w:ind w:left="5"/>
        <w:rPr>
          <w:b/>
          <w:bCs/>
        </w:rPr>
      </w:pPr>
      <w:r w:rsidRPr="0077587E">
        <w:rPr>
          <w:b/>
          <w:bCs/>
        </w:rPr>
        <w:lastRenderedPageBreak/>
        <w:t>Изготовитель</w:t>
      </w:r>
    </w:p>
    <w:p w14:paraId="5CB464B8" w14:textId="77777777" w:rsidR="002A6E53" w:rsidRDefault="002A6E53" w:rsidP="002A6E53">
      <w:pPr>
        <w:spacing w:after="4" w:line="225" w:lineRule="auto"/>
        <w:ind w:left="5"/>
      </w:pPr>
      <w:r>
        <w:t>ООО «</w:t>
      </w:r>
      <w:proofErr w:type="spellStart"/>
      <w:r>
        <w:t>Витамер</w:t>
      </w:r>
      <w:proofErr w:type="spellEnd"/>
      <w:r>
        <w:t xml:space="preserve">», РФ, 117623, г. Москва, </w:t>
      </w:r>
      <w:proofErr w:type="spellStart"/>
      <w:r>
        <w:t>вн</w:t>
      </w:r>
      <w:proofErr w:type="spellEnd"/>
      <w:r>
        <w:t>. тер. г. муниципальный округ Южное Бутово, ул. 2-я Мелитопольская, д. 19, к. 2, кв. 57.</w:t>
      </w:r>
    </w:p>
    <w:p w14:paraId="40AC1086" w14:textId="77777777" w:rsidR="00F2581C" w:rsidRDefault="002A6E53" w:rsidP="002A6E53">
      <w:pPr>
        <w:spacing w:after="4" w:line="225" w:lineRule="auto"/>
        <w:ind w:left="5"/>
      </w:pPr>
      <w:r>
        <w:t xml:space="preserve">Адрес производства: РФ, 601144, Владимирская обл., г. Петушки, ул. Совхозная, д. 11. </w:t>
      </w:r>
    </w:p>
    <w:p w14:paraId="0F88CFF9" w14:textId="7885D0E6" w:rsidR="002A6E53" w:rsidRPr="0077587E" w:rsidRDefault="002A6E53" w:rsidP="002A6E53">
      <w:pPr>
        <w:spacing w:after="4" w:line="225" w:lineRule="auto"/>
        <w:ind w:left="5"/>
        <w:rPr>
          <w:b/>
          <w:bCs/>
        </w:rPr>
      </w:pPr>
      <w:r w:rsidRPr="0077587E">
        <w:rPr>
          <w:b/>
          <w:bCs/>
          <w:u w:val="single" w:color="000000"/>
        </w:rPr>
        <w:t>Организация</w:t>
      </w:r>
      <w:proofErr w:type="gramStart"/>
      <w:r w:rsidRPr="0077587E">
        <w:rPr>
          <w:b/>
          <w:bCs/>
          <w:u w:val="single" w:color="000000"/>
        </w:rPr>
        <w:t>.</w:t>
      </w:r>
      <w:proofErr w:type="gramEnd"/>
      <w:r w:rsidRPr="0077587E">
        <w:rPr>
          <w:b/>
          <w:bCs/>
          <w:u w:val="single" w:color="000000"/>
        </w:rPr>
        <w:t xml:space="preserve"> уполномоченная принимать претензии от потребителей</w:t>
      </w:r>
    </w:p>
    <w:p w14:paraId="0E9F30DE" w14:textId="77777777" w:rsidR="002A6E53" w:rsidRDefault="002A6E53" w:rsidP="002A6E53">
      <w:pPr>
        <w:spacing w:after="4" w:line="225" w:lineRule="auto"/>
        <w:ind w:left="5"/>
      </w:pPr>
      <w:r>
        <w:t xml:space="preserve">ООО «Функциональные продукты», РФ, 123298, г. Москва, ул. </w:t>
      </w:r>
      <w:proofErr w:type="spellStart"/>
      <w:r>
        <w:t>Берзарина</w:t>
      </w:r>
      <w:proofErr w:type="spellEnd"/>
      <w:r>
        <w:t xml:space="preserve">, д. 16, тел.: (495) 988-21-70/80, </w:t>
      </w:r>
      <w:proofErr w:type="spellStart"/>
      <w:r>
        <w:t>e-mail</w:t>
      </w:r>
      <w:proofErr w:type="spellEnd"/>
      <w:r>
        <w:t>: info@funcprod.ru</w:t>
      </w:r>
    </w:p>
    <w:p w14:paraId="38398B96" w14:textId="77777777" w:rsidR="00F2581C" w:rsidRDefault="002A6E53" w:rsidP="002A6E53">
      <w:pPr>
        <w:spacing w:after="4" w:line="225" w:lineRule="auto"/>
        <w:ind w:left="5" w:right="4830"/>
      </w:pPr>
      <w:r>
        <w:t>Горячая линия:</w:t>
      </w:r>
      <w:r w:rsidR="00F2581C">
        <w:t xml:space="preserve"> </w:t>
      </w:r>
      <w:r>
        <w:t xml:space="preserve">8-800-2349180 www.funcprod.ru www.femodol.ru </w:t>
      </w:r>
    </w:p>
    <w:p w14:paraId="0C226AFA" w14:textId="54D01463" w:rsidR="002A6E53" w:rsidRPr="00D462E0" w:rsidRDefault="002A6E53" w:rsidP="002A6E53">
      <w:pPr>
        <w:spacing w:after="4" w:line="225" w:lineRule="auto"/>
        <w:ind w:left="5" w:right="4830"/>
        <w:rPr>
          <w:b/>
          <w:bCs/>
          <w:u w:val="single" w:color="000000"/>
          <w:lang w:val="en-US"/>
        </w:rPr>
      </w:pPr>
      <w:r w:rsidRPr="0077587E">
        <w:rPr>
          <w:b/>
          <w:bCs/>
          <w:u w:val="single" w:color="000000"/>
        </w:rPr>
        <w:t>Ссылки</w:t>
      </w:r>
    </w:p>
    <w:p w14:paraId="4DAB08DC" w14:textId="77777777" w:rsidR="00F2581C" w:rsidRPr="00F2581C" w:rsidRDefault="00F2581C" w:rsidP="002A6E53">
      <w:pPr>
        <w:spacing w:after="4" w:line="225" w:lineRule="auto"/>
        <w:ind w:left="5" w:right="4830"/>
        <w:rPr>
          <w:lang w:val="en-US"/>
        </w:rPr>
      </w:pPr>
    </w:p>
    <w:p w14:paraId="4E346FCA" w14:textId="10772AB9" w:rsidR="00F404A8" w:rsidRPr="007B3CDD" w:rsidRDefault="00F404A8" w:rsidP="00F404A8">
      <w:pPr>
        <w:spacing w:after="7" w:line="220" w:lineRule="auto"/>
        <w:ind w:left="19" w:firstLine="0"/>
        <w:rPr>
          <w:lang w:val="en-US"/>
        </w:rPr>
      </w:pPr>
      <w:r w:rsidRPr="00F404A8">
        <w:rPr>
          <w:vertAlign w:val="superscript"/>
          <w:lang w:val="en-US"/>
        </w:rPr>
        <w:t xml:space="preserve">1 </w:t>
      </w:r>
      <w:proofErr w:type="spellStart"/>
      <w:r w:rsidRPr="007B3CDD">
        <w:rPr>
          <w:lang w:val="en-US"/>
        </w:rPr>
        <w:t>Plu</w:t>
      </w:r>
      <w:proofErr w:type="spellEnd"/>
      <w:r w:rsidRPr="007B3CDD">
        <w:rPr>
          <w:lang w:val="en-US"/>
        </w:rPr>
        <w:t xml:space="preserve">-Bureau G., </w:t>
      </w:r>
      <w:proofErr w:type="spellStart"/>
      <w:r w:rsidRPr="007B3CDD">
        <w:rPr>
          <w:lang w:val="en-US"/>
        </w:rPr>
        <w:t>Lé</w:t>
      </w:r>
      <w:proofErr w:type="spellEnd"/>
      <w:r w:rsidRPr="007B3CDD">
        <w:rPr>
          <w:lang w:val="en-US"/>
        </w:rPr>
        <w:t xml:space="preserve"> M.G., </w:t>
      </w:r>
      <w:proofErr w:type="spellStart"/>
      <w:r w:rsidRPr="007B3CDD">
        <w:rPr>
          <w:lang w:val="en-US"/>
        </w:rPr>
        <w:t>Sitruk</w:t>
      </w:r>
      <w:proofErr w:type="spellEnd"/>
      <w:r w:rsidRPr="007B3CDD">
        <w:rPr>
          <w:lang w:val="en-US"/>
        </w:rPr>
        <w:t xml:space="preserve">-Ware R., </w:t>
      </w:r>
      <w:proofErr w:type="spellStart"/>
      <w:r w:rsidRPr="007B3CDD">
        <w:rPr>
          <w:lang w:val="en-US"/>
        </w:rPr>
        <w:t>Thalabard</w:t>
      </w:r>
      <w:proofErr w:type="spellEnd"/>
      <w:r w:rsidRPr="007B3CDD">
        <w:rPr>
          <w:lang w:val="en-US"/>
        </w:rPr>
        <w:t xml:space="preserve"> J.C. Cyclical </w:t>
      </w:r>
      <w:proofErr w:type="spellStart"/>
      <w:r w:rsidRPr="007B3CDD">
        <w:rPr>
          <w:lang w:val="en-US"/>
        </w:rPr>
        <w:t>mastalgia</w:t>
      </w:r>
      <w:proofErr w:type="spellEnd"/>
      <w:r w:rsidRPr="007B3CDD">
        <w:rPr>
          <w:lang w:val="en-US"/>
        </w:rPr>
        <w:t xml:space="preserve"> and breast cancer risk: results of a French cohort study. Cancer Epidemiol Biomarkers Prev. 2006 Jun; 15(6): 1229-31.</w:t>
      </w:r>
    </w:p>
    <w:p w14:paraId="4CB1675B" w14:textId="17C58B21" w:rsidR="00F404A8" w:rsidRPr="00F404A8" w:rsidRDefault="00F404A8" w:rsidP="00F404A8">
      <w:pPr>
        <w:spacing w:after="71" w:line="220" w:lineRule="auto"/>
        <w:ind w:left="19" w:firstLine="0"/>
        <w:rPr>
          <w:lang w:val="en-US"/>
        </w:rPr>
      </w:pPr>
      <w:r w:rsidRPr="00F404A8">
        <w:rPr>
          <w:vertAlign w:val="superscript"/>
          <w:lang w:val="en-US"/>
        </w:rPr>
        <w:t>2</w:t>
      </w:r>
      <w:r w:rsidRPr="00F404A8">
        <w:rPr>
          <w:lang w:val="en-US"/>
        </w:rPr>
        <w:t xml:space="preserve"> </w:t>
      </w:r>
      <w:r w:rsidRPr="007B3CDD">
        <w:rPr>
          <w:lang w:val="en-US"/>
        </w:rPr>
        <w:t xml:space="preserve">Morales-Prieto D.M., Herrmann J., </w:t>
      </w:r>
      <w:proofErr w:type="spellStart"/>
      <w:r w:rsidRPr="007B3CDD">
        <w:rPr>
          <w:lang w:val="en-US"/>
        </w:rPr>
        <w:t>Osterwald</w:t>
      </w:r>
      <w:proofErr w:type="spellEnd"/>
      <w:r w:rsidRPr="007B3CDD">
        <w:rPr>
          <w:lang w:val="en-US"/>
        </w:rPr>
        <w:t xml:space="preserve"> H., Kochhar P.S., </w:t>
      </w:r>
      <w:proofErr w:type="spellStart"/>
      <w:r w:rsidRPr="007B3CDD">
        <w:rPr>
          <w:lang w:val="en-US"/>
        </w:rPr>
        <w:t>Schleussner</w:t>
      </w:r>
      <w:proofErr w:type="spellEnd"/>
      <w:r w:rsidRPr="007B3CDD">
        <w:rPr>
          <w:lang w:val="en-US"/>
        </w:rPr>
        <w:t xml:space="preserve"> E., </w:t>
      </w:r>
      <w:proofErr w:type="spellStart"/>
      <w:r w:rsidRPr="007B3CDD">
        <w:rPr>
          <w:lang w:val="en-US"/>
        </w:rPr>
        <w:t>Markert</w:t>
      </w:r>
      <w:proofErr w:type="spellEnd"/>
      <w:r w:rsidRPr="007B3CDD">
        <w:rPr>
          <w:lang w:val="en-US"/>
        </w:rPr>
        <w:t xml:space="preserve"> U.R., </w:t>
      </w:r>
      <w:proofErr w:type="spellStart"/>
      <w:r w:rsidRPr="007B3CDD">
        <w:rPr>
          <w:lang w:val="en-US"/>
        </w:rPr>
        <w:t>Oettel</w:t>
      </w:r>
      <w:proofErr w:type="spellEnd"/>
      <w:r w:rsidRPr="007B3CDD">
        <w:rPr>
          <w:lang w:val="en-US"/>
        </w:rPr>
        <w:t xml:space="preserve"> M. Comparison of </w:t>
      </w:r>
      <w:proofErr w:type="spellStart"/>
      <w:r w:rsidRPr="007B3CDD">
        <w:rPr>
          <w:lang w:val="en-US"/>
        </w:rPr>
        <w:t>dienogest</w:t>
      </w:r>
      <w:proofErr w:type="spellEnd"/>
      <w:r w:rsidRPr="007B3CDD">
        <w:rPr>
          <w:lang w:val="en-US"/>
        </w:rPr>
        <w:t xml:space="preserve"> effects upon 3,3'-diindolylmethane </w:t>
      </w:r>
      <w:proofErr w:type="gramStart"/>
      <w:r w:rsidRPr="007B3CDD">
        <w:rPr>
          <w:lang w:val="en-US"/>
        </w:rPr>
        <w:t>supplementation</w:t>
      </w:r>
      <w:proofErr w:type="gramEnd"/>
      <w:r w:rsidRPr="007B3CDD">
        <w:rPr>
          <w:lang w:val="en-US"/>
        </w:rPr>
        <w:t xml:space="preserve"> in models of endometriosis and clinical cases. </w:t>
      </w:r>
      <w:r w:rsidRPr="00F404A8">
        <w:rPr>
          <w:lang w:val="en-US"/>
        </w:rPr>
        <w:t>Reproductive Biology. 2018 Sep; 18(3): 252-258.</w:t>
      </w:r>
    </w:p>
    <w:p w14:paraId="4CD6F921" w14:textId="7C9F10B4" w:rsidR="00F404A8" w:rsidRPr="00F404A8" w:rsidRDefault="00F404A8" w:rsidP="00F404A8">
      <w:pPr>
        <w:spacing w:after="71" w:line="220" w:lineRule="auto"/>
        <w:ind w:left="19" w:firstLine="0"/>
        <w:rPr>
          <w:lang w:val="en-US"/>
        </w:rPr>
      </w:pPr>
      <w:r w:rsidRPr="00F404A8">
        <w:rPr>
          <w:vertAlign w:val="superscript"/>
          <w:lang w:val="en-US"/>
        </w:rPr>
        <w:t xml:space="preserve">3 </w:t>
      </w:r>
      <w:proofErr w:type="spellStart"/>
      <w:r w:rsidRPr="007B3CDD">
        <w:rPr>
          <w:lang w:val="en-US"/>
        </w:rPr>
        <w:t>Chakrawarti</w:t>
      </w:r>
      <w:proofErr w:type="spellEnd"/>
      <w:r w:rsidRPr="007B3CDD">
        <w:rPr>
          <w:lang w:val="en-US"/>
        </w:rPr>
        <w:t xml:space="preserve"> L., Agrawal R., Dang S., Gupta S., </w:t>
      </w:r>
      <w:proofErr w:type="spellStart"/>
      <w:r w:rsidRPr="007B3CDD">
        <w:rPr>
          <w:lang w:val="en-US"/>
        </w:rPr>
        <w:t>Gabrani</w:t>
      </w:r>
      <w:proofErr w:type="spellEnd"/>
      <w:r w:rsidRPr="007B3CDD">
        <w:rPr>
          <w:lang w:val="en-US"/>
        </w:rPr>
        <w:t xml:space="preserve"> R. Therapeutic effects of EGCG: a patent review. </w:t>
      </w:r>
      <w:r w:rsidRPr="00F404A8">
        <w:rPr>
          <w:lang w:val="en-US"/>
        </w:rPr>
        <w:t>Expert Opinion Therapeutic Patents. 2016 Aug; 26(8): 907-16.</w:t>
      </w:r>
    </w:p>
    <w:p w14:paraId="6E20567B" w14:textId="01643703" w:rsidR="00F404A8" w:rsidRPr="00F404A8" w:rsidRDefault="00F404A8" w:rsidP="00F404A8">
      <w:pPr>
        <w:spacing w:after="71" w:line="220" w:lineRule="auto"/>
        <w:rPr>
          <w:lang w:val="en-US"/>
        </w:rPr>
      </w:pPr>
      <w:r w:rsidRPr="00F404A8">
        <w:rPr>
          <w:vertAlign w:val="superscript"/>
          <w:lang w:val="en-US"/>
        </w:rPr>
        <w:t xml:space="preserve">4 </w:t>
      </w:r>
      <w:proofErr w:type="spellStart"/>
      <w:r w:rsidRPr="007B3CDD">
        <w:rPr>
          <w:lang w:val="en-US"/>
        </w:rPr>
        <w:t>Sartippour</w:t>
      </w:r>
      <w:proofErr w:type="spellEnd"/>
      <w:r w:rsidRPr="007B3CDD">
        <w:rPr>
          <w:lang w:val="en-US"/>
        </w:rPr>
        <w:t xml:space="preserve"> M.R., </w:t>
      </w:r>
      <w:proofErr w:type="spellStart"/>
      <w:r w:rsidRPr="007B3CDD">
        <w:rPr>
          <w:lang w:val="en-US"/>
        </w:rPr>
        <w:t>Pietras</w:t>
      </w:r>
      <w:proofErr w:type="spellEnd"/>
      <w:r w:rsidRPr="007B3CDD">
        <w:rPr>
          <w:lang w:val="en-US"/>
        </w:rPr>
        <w:t xml:space="preserve"> R., Marquez-</w:t>
      </w:r>
      <w:proofErr w:type="spellStart"/>
      <w:r w:rsidRPr="007B3CDD">
        <w:rPr>
          <w:lang w:val="en-US"/>
        </w:rPr>
        <w:t>Garban</w:t>
      </w:r>
      <w:proofErr w:type="spellEnd"/>
      <w:r w:rsidRPr="007B3CDD">
        <w:rPr>
          <w:lang w:val="en-US"/>
        </w:rPr>
        <w:t xml:space="preserve"> D.C., Chen H.W., Heber D., Henning S.M., </w:t>
      </w:r>
      <w:proofErr w:type="spellStart"/>
      <w:r w:rsidRPr="007B3CDD">
        <w:rPr>
          <w:lang w:val="en-US"/>
        </w:rPr>
        <w:t>Sartippour</w:t>
      </w:r>
      <w:proofErr w:type="spellEnd"/>
      <w:r w:rsidRPr="007B3CDD">
        <w:rPr>
          <w:lang w:val="en-US"/>
        </w:rPr>
        <w:t xml:space="preserve"> G., Zhang L., Lu M., Weinberg 0., Rao J.Y., Brooks M.N. The combination of green tea and tamoxifen is effective against breast cancer. </w:t>
      </w:r>
      <w:r w:rsidRPr="00F404A8">
        <w:rPr>
          <w:lang w:val="en-US"/>
        </w:rPr>
        <w:t>Carcinogenesis. 2006 Dec; 27(12): 2424-33.</w:t>
      </w:r>
    </w:p>
    <w:p w14:paraId="69A2914F" w14:textId="68A7BFF9" w:rsidR="00F404A8" w:rsidRPr="00F404A8" w:rsidRDefault="00F404A8" w:rsidP="00F404A8">
      <w:pPr>
        <w:spacing w:after="71" w:line="220" w:lineRule="auto"/>
        <w:ind w:left="19" w:firstLine="0"/>
        <w:rPr>
          <w:lang w:val="en-US"/>
        </w:rPr>
      </w:pPr>
      <w:r w:rsidRPr="00F404A8">
        <w:rPr>
          <w:vertAlign w:val="superscript"/>
          <w:lang w:val="en-US"/>
        </w:rPr>
        <w:t xml:space="preserve">5 </w:t>
      </w:r>
      <w:r w:rsidRPr="007B3CDD">
        <w:rPr>
          <w:lang w:val="en-US"/>
        </w:rPr>
        <w:t xml:space="preserve">Bradlow H.L., Zeligs M.A. Diindolylmethane (DIM) spontaneously forms from indole-3-carbinol (13C) during cell culture experiments. </w:t>
      </w:r>
      <w:r w:rsidRPr="00F404A8">
        <w:rPr>
          <w:lang w:val="en-US"/>
        </w:rPr>
        <w:t>In Vivo. 2010 July; 24(4): 387-91.</w:t>
      </w:r>
    </w:p>
    <w:p w14:paraId="2F40331C" w14:textId="77777777" w:rsidR="00661B58" w:rsidRPr="002A6E53" w:rsidRDefault="00661B58" w:rsidP="002A6E53">
      <w:pPr>
        <w:ind w:left="0"/>
        <w:rPr>
          <w:lang w:val="en-US"/>
        </w:rPr>
      </w:pPr>
    </w:p>
    <w:sectPr w:rsidR="00661B58" w:rsidRPr="002A6E53">
      <w:pgSz w:w="11900" w:h="16840"/>
      <w:pgMar w:top="1440" w:right="2060" w:bottom="1440" w:left="20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37D7A"/>
    <w:multiLevelType w:val="hybridMultilevel"/>
    <w:tmpl w:val="1B5E6A16"/>
    <w:lvl w:ilvl="0" w:tplc="477272E0">
      <w:start w:val="1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D7A4508">
      <w:start w:val="1"/>
      <w:numFmt w:val="lowerLetter"/>
      <w:lvlText w:val="%2"/>
      <w:lvlJc w:val="left"/>
      <w:pPr>
        <w:ind w:left="1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598D684">
      <w:start w:val="1"/>
      <w:numFmt w:val="lowerRoman"/>
      <w:lvlText w:val="%3"/>
      <w:lvlJc w:val="left"/>
      <w:pPr>
        <w:ind w:left="1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42E2CB4">
      <w:start w:val="1"/>
      <w:numFmt w:val="decimal"/>
      <w:lvlText w:val="%4"/>
      <w:lvlJc w:val="left"/>
      <w:pPr>
        <w:ind w:left="2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F6ABE00">
      <w:start w:val="1"/>
      <w:numFmt w:val="lowerLetter"/>
      <w:lvlText w:val="%5"/>
      <w:lvlJc w:val="left"/>
      <w:pPr>
        <w:ind w:left="3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8C214D8">
      <w:start w:val="1"/>
      <w:numFmt w:val="lowerRoman"/>
      <w:lvlText w:val="%6"/>
      <w:lvlJc w:val="left"/>
      <w:pPr>
        <w:ind w:left="3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35ADC46">
      <w:start w:val="1"/>
      <w:numFmt w:val="decimal"/>
      <w:lvlText w:val="%7"/>
      <w:lvlJc w:val="left"/>
      <w:pPr>
        <w:ind w:left="4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7604CD6">
      <w:start w:val="1"/>
      <w:numFmt w:val="lowerLetter"/>
      <w:lvlText w:val="%8"/>
      <w:lvlJc w:val="left"/>
      <w:pPr>
        <w:ind w:left="5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361828">
      <w:start w:val="1"/>
      <w:numFmt w:val="lowerRoman"/>
      <w:lvlText w:val="%9"/>
      <w:lvlJc w:val="left"/>
      <w:pPr>
        <w:ind w:left="6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111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449"/>
    <w:rsid w:val="00093917"/>
    <w:rsid w:val="000B5449"/>
    <w:rsid w:val="0024729A"/>
    <w:rsid w:val="002A6E53"/>
    <w:rsid w:val="00614286"/>
    <w:rsid w:val="00661B58"/>
    <w:rsid w:val="00683146"/>
    <w:rsid w:val="0077587E"/>
    <w:rsid w:val="007D233D"/>
    <w:rsid w:val="00956983"/>
    <w:rsid w:val="00BA2D5D"/>
    <w:rsid w:val="00D462E0"/>
    <w:rsid w:val="00F2581C"/>
    <w:rsid w:val="00F4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519854"/>
  <w15:docId w15:val="{B143BA16-FF95-044B-91BC-8F43D4FA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48" w:lineRule="auto"/>
      <w:ind w:left="10" w:firstLine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/>
      <w:outlineLvl w:val="0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Снимок экрана 2022-06-28 в 13.47.42</vt:lpstr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Снимок экрана 2022-06-28 в 13.47.42</dc:title>
  <dc:subject/>
  <dc:creator>Андрей Мещеряков</dc:creator>
  <cp:keywords/>
  <cp:lastModifiedBy>Андрей Мещеряков</cp:lastModifiedBy>
  <cp:revision>8</cp:revision>
  <dcterms:created xsi:type="dcterms:W3CDTF">2022-06-28T10:54:00Z</dcterms:created>
  <dcterms:modified xsi:type="dcterms:W3CDTF">2023-08-29T08:51:00Z</dcterms:modified>
</cp:coreProperties>
</file>